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385B1" w14:textId="77777777" w:rsidR="00ED4364" w:rsidRDefault="00ED4364" w:rsidP="00ED4364">
      <w:pPr>
        <w:jc w:val="center"/>
        <w:rPr>
          <w:b/>
          <w:sz w:val="24"/>
          <w:u w:val="single"/>
        </w:rPr>
      </w:pPr>
    </w:p>
    <w:p w14:paraId="6FACB363" w14:textId="77777777" w:rsidR="00ED4364" w:rsidRDefault="00ED4364" w:rsidP="00ED4364">
      <w:pPr>
        <w:jc w:val="center"/>
        <w:rPr>
          <w:b/>
          <w:sz w:val="24"/>
          <w:u w:val="single"/>
        </w:rPr>
      </w:pPr>
    </w:p>
    <w:p w14:paraId="4F6ABFDF" w14:textId="77777777" w:rsidR="00ED4364" w:rsidRDefault="00ED4364" w:rsidP="00ED4364">
      <w:pPr>
        <w:jc w:val="center"/>
        <w:rPr>
          <w:b/>
          <w:sz w:val="24"/>
          <w:u w:val="single"/>
        </w:rPr>
      </w:pPr>
      <w:r w:rsidRPr="00027098">
        <w:rPr>
          <w:b/>
          <w:sz w:val="24"/>
          <w:u w:val="single"/>
        </w:rPr>
        <w:t>MONTHLY CHAPTER REPORT (MCR) AWARD CRITERIA</w:t>
      </w:r>
    </w:p>
    <w:p w14:paraId="4D4F9EDC" w14:textId="77777777" w:rsidR="00ED4364" w:rsidRPr="00027098" w:rsidRDefault="00ED4364" w:rsidP="00ED4364">
      <w:pPr>
        <w:jc w:val="both"/>
        <w:rPr>
          <w:b/>
          <w:sz w:val="24"/>
          <w:u w:val="single"/>
        </w:rPr>
      </w:pPr>
    </w:p>
    <w:p w14:paraId="028E3764" w14:textId="77777777" w:rsidR="00ED4364" w:rsidRDefault="00ED4364" w:rsidP="00ED4364">
      <w:pPr>
        <w:numPr>
          <w:ilvl w:val="0"/>
          <w:numId w:val="1"/>
        </w:numPr>
        <w:jc w:val="both"/>
        <w:rPr>
          <w:sz w:val="22"/>
        </w:rPr>
      </w:pPr>
      <w:r>
        <w:rPr>
          <w:sz w:val="22"/>
        </w:rPr>
        <w:t>In order to be considered for MCR Awards a chapter:</w:t>
      </w:r>
    </w:p>
    <w:p w14:paraId="24EFA629" w14:textId="77777777" w:rsidR="00ED4364" w:rsidRDefault="00ED4364" w:rsidP="00ED4364">
      <w:pPr>
        <w:numPr>
          <w:ilvl w:val="1"/>
          <w:numId w:val="1"/>
        </w:numPr>
        <w:jc w:val="both"/>
        <w:rPr>
          <w:sz w:val="22"/>
        </w:rPr>
      </w:pPr>
      <w:r>
        <w:rPr>
          <w:sz w:val="22"/>
        </w:rPr>
        <w:t>Must submit all monthly reports by 10</w:t>
      </w:r>
      <w:r w:rsidRPr="00FB603D">
        <w:rPr>
          <w:sz w:val="22"/>
          <w:vertAlign w:val="superscript"/>
        </w:rPr>
        <w:t>th</w:t>
      </w:r>
      <w:r>
        <w:rPr>
          <w:sz w:val="22"/>
        </w:rPr>
        <w:t xml:space="preserve"> of each month.  Monthly Chapter Reports are due in each of the following ten (10) months:  August, September, October, November, December, January, February, March, April, and May.  Chapters are permitted to include events from June and July on the August report. If the 10</w:t>
      </w:r>
      <w:r w:rsidRPr="00FB603D">
        <w:rPr>
          <w:sz w:val="22"/>
          <w:vertAlign w:val="superscript"/>
        </w:rPr>
        <w:t>th</w:t>
      </w:r>
      <w:r>
        <w:rPr>
          <w:sz w:val="22"/>
        </w:rPr>
        <w:t xml:space="preserve"> falls on a Saturday or Sunday or Federal US or Canadian holiday, the monthly report is due the following business day.</w:t>
      </w:r>
    </w:p>
    <w:p w14:paraId="18C63A88" w14:textId="77777777" w:rsidR="00ED4364" w:rsidRDefault="00ED4364" w:rsidP="00ED4364">
      <w:pPr>
        <w:numPr>
          <w:ilvl w:val="1"/>
          <w:numId w:val="1"/>
        </w:numPr>
        <w:jc w:val="both"/>
        <w:rPr>
          <w:sz w:val="22"/>
        </w:rPr>
      </w:pPr>
      <w:r>
        <w:rPr>
          <w:sz w:val="22"/>
        </w:rPr>
        <w:t>Must have submitted new membership and all outstanding invoices must be paid by September 1.</w:t>
      </w:r>
    </w:p>
    <w:p w14:paraId="07C03067" w14:textId="77777777" w:rsidR="00ED4364" w:rsidRDefault="00ED4364" w:rsidP="00ED4364">
      <w:pPr>
        <w:numPr>
          <w:ilvl w:val="0"/>
          <w:numId w:val="1"/>
        </w:numPr>
        <w:jc w:val="both"/>
        <w:rPr>
          <w:sz w:val="22"/>
        </w:rPr>
      </w:pPr>
      <w:r>
        <w:rPr>
          <w:sz w:val="22"/>
        </w:rPr>
        <w:t>Standard Requirements for a Well-Rounded Chapter</w:t>
      </w:r>
    </w:p>
    <w:p w14:paraId="730D8D59" w14:textId="77777777" w:rsidR="00ED4364" w:rsidRDefault="00ED4364" w:rsidP="00ED4364">
      <w:pPr>
        <w:numPr>
          <w:ilvl w:val="1"/>
          <w:numId w:val="1"/>
        </w:numPr>
        <w:jc w:val="both"/>
        <w:rPr>
          <w:sz w:val="22"/>
        </w:rPr>
      </w:pPr>
      <w:r>
        <w:rPr>
          <w:sz w:val="22"/>
        </w:rPr>
        <w:t>A Well-Rounded Chapter will exist when the following minimum points are attained:</w:t>
      </w:r>
    </w:p>
    <w:p w14:paraId="69F4766E" w14:textId="77777777" w:rsidR="00ED4364" w:rsidRDefault="00ED4364" w:rsidP="00ED4364">
      <w:pPr>
        <w:ind w:left="1440"/>
        <w:jc w:val="both"/>
        <w:rPr>
          <w:sz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656"/>
      </w:tblGrid>
      <w:tr w:rsidR="00ED4364" w:rsidRPr="00771A9F" w14:paraId="61251D59" w14:textId="77777777" w:rsidTr="00E5743C">
        <w:tc>
          <w:tcPr>
            <w:tcW w:w="6760" w:type="dxa"/>
            <w:shd w:val="clear" w:color="auto" w:fill="auto"/>
          </w:tcPr>
          <w:p w14:paraId="627057C4" w14:textId="77777777" w:rsidR="00ED4364" w:rsidRPr="00771A9F" w:rsidRDefault="00ED4364" w:rsidP="00E5743C">
            <w:pPr>
              <w:pStyle w:val="Header"/>
              <w:tabs>
                <w:tab w:val="clear" w:pos="4320"/>
                <w:tab w:val="clear" w:pos="8640"/>
              </w:tabs>
              <w:jc w:val="both"/>
              <w:rPr>
                <w:sz w:val="22"/>
              </w:rPr>
            </w:pPr>
            <w:r w:rsidRPr="00771A9F">
              <w:rPr>
                <w:sz w:val="22"/>
              </w:rPr>
              <w:t>Submission of ten monthly reports</w:t>
            </w:r>
          </w:p>
        </w:tc>
        <w:tc>
          <w:tcPr>
            <w:tcW w:w="656" w:type="dxa"/>
            <w:shd w:val="clear" w:color="auto" w:fill="auto"/>
          </w:tcPr>
          <w:p w14:paraId="0AE3D312" w14:textId="77777777" w:rsidR="00ED4364" w:rsidRPr="00771A9F" w:rsidRDefault="00ED4364" w:rsidP="00E5743C">
            <w:pPr>
              <w:pStyle w:val="Header"/>
              <w:tabs>
                <w:tab w:val="clear" w:pos="4320"/>
                <w:tab w:val="clear" w:pos="8640"/>
              </w:tabs>
              <w:jc w:val="both"/>
              <w:rPr>
                <w:sz w:val="22"/>
              </w:rPr>
            </w:pPr>
            <w:r w:rsidRPr="00771A9F">
              <w:rPr>
                <w:sz w:val="22"/>
              </w:rPr>
              <w:t>100</w:t>
            </w:r>
          </w:p>
        </w:tc>
      </w:tr>
      <w:tr w:rsidR="00ED4364" w:rsidRPr="00771A9F" w14:paraId="6759E8E1" w14:textId="77777777" w:rsidTr="00E5743C">
        <w:tc>
          <w:tcPr>
            <w:tcW w:w="6760" w:type="dxa"/>
            <w:shd w:val="clear" w:color="auto" w:fill="auto"/>
          </w:tcPr>
          <w:p w14:paraId="67E3C7EE" w14:textId="77777777" w:rsidR="00ED4364" w:rsidRPr="00771A9F" w:rsidRDefault="00ED4364" w:rsidP="00E5743C">
            <w:pPr>
              <w:pStyle w:val="Header"/>
              <w:tabs>
                <w:tab w:val="clear" w:pos="4320"/>
                <w:tab w:val="clear" w:pos="8640"/>
              </w:tabs>
              <w:jc w:val="both"/>
              <w:rPr>
                <w:sz w:val="22"/>
              </w:rPr>
            </w:pPr>
            <w:r w:rsidRPr="00771A9F">
              <w:rPr>
                <w:sz w:val="22"/>
              </w:rPr>
              <w:t>Reporting elected/appointed officers at least twice per year</w:t>
            </w:r>
          </w:p>
        </w:tc>
        <w:tc>
          <w:tcPr>
            <w:tcW w:w="656" w:type="dxa"/>
            <w:shd w:val="clear" w:color="auto" w:fill="auto"/>
          </w:tcPr>
          <w:p w14:paraId="2879E52E" w14:textId="77777777" w:rsidR="00ED4364" w:rsidRPr="00771A9F" w:rsidRDefault="00ED4364" w:rsidP="00E5743C">
            <w:pPr>
              <w:pStyle w:val="Header"/>
              <w:tabs>
                <w:tab w:val="clear" w:pos="4320"/>
                <w:tab w:val="clear" w:pos="8640"/>
              </w:tabs>
              <w:jc w:val="both"/>
              <w:rPr>
                <w:sz w:val="22"/>
              </w:rPr>
            </w:pPr>
            <w:r w:rsidRPr="00771A9F">
              <w:rPr>
                <w:sz w:val="22"/>
              </w:rPr>
              <w:t>10</w:t>
            </w:r>
          </w:p>
        </w:tc>
      </w:tr>
      <w:tr w:rsidR="00ED4364" w:rsidRPr="00771A9F" w14:paraId="05C42F50" w14:textId="77777777" w:rsidTr="00E5743C">
        <w:tc>
          <w:tcPr>
            <w:tcW w:w="6760" w:type="dxa"/>
            <w:shd w:val="clear" w:color="auto" w:fill="auto"/>
          </w:tcPr>
          <w:p w14:paraId="7F47F167" w14:textId="77777777" w:rsidR="00ED4364" w:rsidRPr="00771A9F" w:rsidRDefault="00ED4364" w:rsidP="00E5743C">
            <w:pPr>
              <w:pStyle w:val="Header"/>
              <w:tabs>
                <w:tab w:val="clear" w:pos="4320"/>
                <w:tab w:val="clear" w:pos="8640"/>
              </w:tabs>
              <w:jc w:val="both"/>
              <w:rPr>
                <w:sz w:val="22"/>
              </w:rPr>
            </w:pPr>
            <w:r w:rsidRPr="00771A9F">
              <w:rPr>
                <w:sz w:val="22"/>
              </w:rPr>
              <w:t>Annual submission of updated chapter by-laws</w:t>
            </w:r>
          </w:p>
        </w:tc>
        <w:tc>
          <w:tcPr>
            <w:tcW w:w="656" w:type="dxa"/>
            <w:shd w:val="clear" w:color="auto" w:fill="auto"/>
          </w:tcPr>
          <w:p w14:paraId="0604EB51" w14:textId="77777777" w:rsidR="00ED4364" w:rsidRPr="00771A9F" w:rsidRDefault="00ED4364" w:rsidP="00E5743C">
            <w:pPr>
              <w:pStyle w:val="Header"/>
              <w:tabs>
                <w:tab w:val="clear" w:pos="4320"/>
                <w:tab w:val="clear" w:pos="8640"/>
              </w:tabs>
              <w:jc w:val="both"/>
              <w:rPr>
                <w:sz w:val="22"/>
              </w:rPr>
            </w:pPr>
            <w:r w:rsidRPr="00771A9F">
              <w:rPr>
                <w:sz w:val="22"/>
              </w:rPr>
              <w:t>10</w:t>
            </w:r>
          </w:p>
        </w:tc>
      </w:tr>
      <w:tr w:rsidR="00ED4364" w:rsidRPr="00771A9F" w14:paraId="5C482F44" w14:textId="77777777" w:rsidTr="00E5743C">
        <w:tc>
          <w:tcPr>
            <w:tcW w:w="6760" w:type="dxa"/>
            <w:shd w:val="clear" w:color="auto" w:fill="auto"/>
          </w:tcPr>
          <w:p w14:paraId="5257BBF8" w14:textId="77777777" w:rsidR="00ED4364" w:rsidRPr="00771A9F" w:rsidRDefault="00ED4364" w:rsidP="00E5743C">
            <w:pPr>
              <w:pStyle w:val="Header"/>
              <w:tabs>
                <w:tab w:val="clear" w:pos="4320"/>
                <w:tab w:val="clear" w:pos="8640"/>
              </w:tabs>
              <w:jc w:val="both"/>
              <w:rPr>
                <w:sz w:val="22"/>
              </w:rPr>
            </w:pPr>
            <w:r>
              <w:rPr>
                <w:sz w:val="22"/>
              </w:rPr>
              <w:t>Annual submission of Chapter Affiliation Agreement</w:t>
            </w:r>
          </w:p>
        </w:tc>
        <w:tc>
          <w:tcPr>
            <w:tcW w:w="656" w:type="dxa"/>
            <w:shd w:val="clear" w:color="auto" w:fill="auto"/>
          </w:tcPr>
          <w:p w14:paraId="0AD303DF" w14:textId="77777777" w:rsidR="00ED4364" w:rsidRPr="00771A9F" w:rsidRDefault="00ED4364" w:rsidP="00E5743C">
            <w:pPr>
              <w:pStyle w:val="Header"/>
              <w:tabs>
                <w:tab w:val="clear" w:pos="4320"/>
                <w:tab w:val="clear" w:pos="8640"/>
              </w:tabs>
              <w:jc w:val="both"/>
              <w:rPr>
                <w:sz w:val="22"/>
              </w:rPr>
            </w:pPr>
            <w:r>
              <w:rPr>
                <w:sz w:val="22"/>
              </w:rPr>
              <w:t>10</w:t>
            </w:r>
          </w:p>
        </w:tc>
      </w:tr>
      <w:tr w:rsidR="00ED4364" w:rsidRPr="00771A9F" w14:paraId="6DA8EE36" w14:textId="77777777" w:rsidTr="00E5743C">
        <w:tc>
          <w:tcPr>
            <w:tcW w:w="6760" w:type="dxa"/>
            <w:shd w:val="clear" w:color="auto" w:fill="auto"/>
          </w:tcPr>
          <w:p w14:paraId="584A38D1" w14:textId="77777777" w:rsidR="00ED4364" w:rsidRPr="00771A9F" w:rsidRDefault="00ED4364" w:rsidP="00E5743C">
            <w:pPr>
              <w:pStyle w:val="Header"/>
              <w:tabs>
                <w:tab w:val="clear" w:pos="4320"/>
                <w:tab w:val="clear" w:pos="8640"/>
              </w:tabs>
              <w:jc w:val="both"/>
              <w:rPr>
                <w:sz w:val="22"/>
              </w:rPr>
            </w:pPr>
            <w:r w:rsidRPr="00771A9F">
              <w:rPr>
                <w:sz w:val="22"/>
              </w:rPr>
              <w:t>Ten officers’ meetings for the year</w:t>
            </w:r>
          </w:p>
        </w:tc>
        <w:tc>
          <w:tcPr>
            <w:tcW w:w="656" w:type="dxa"/>
            <w:shd w:val="clear" w:color="auto" w:fill="auto"/>
          </w:tcPr>
          <w:p w14:paraId="32728018" w14:textId="77777777" w:rsidR="00ED4364" w:rsidRPr="00771A9F" w:rsidRDefault="00ED4364" w:rsidP="00E5743C">
            <w:pPr>
              <w:pStyle w:val="Header"/>
              <w:tabs>
                <w:tab w:val="clear" w:pos="4320"/>
                <w:tab w:val="clear" w:pos="8640"/>
              </w:tabs>
              <w:jc w:val="both"/>
              <w:rPr>
                <w:sz w:val="22"/>
              </w:rPr>
            </w:pPr>
            <w:r>
              <w:rPr>
                <w:sz w:val="22"/>
              </w:rPr>
              <w:t>5</w:t>
            </w:r>
            <w:r w:rsidRPr="00771A9F">
              <w:rPr>
                <w:sz w:val="22"/>
              </w:rPr>
              <w:t>0</w:t>
            </w:r>
          </w:p>
        </w:tc>
      </w:tr>
      <w:tr w:rsidR="00ED4364" w:rsidRPr="00771A9F" w14:paraId="588C84A2" w14:textId="77777777" w:rsidTr="00E5743C">
        <w:tc>
          <w:tcPr>
            <w:tcW w:w="6760" w:type="dxa"/>
            <w:shd w:val="clear" w:color="auto" w:fill="auto"/>
          </w:tcPr>
          <w:p w14:paraId="04C77120" w14:textId="77777777" w:rsidR="00ED4364" w:rsidRPr="00771A9F" w:rsidRDefault="00ED4364" w:rsidP="00E5743C">
            <w:pPr>
              <w:pStyle w:val="Header"/>
              <w:tabs>
                <w:tab w:val="clear" w:pos="4320"/>
                <w:tab w:val="clear" w:pos="8640"/>
              </w:tabs>
              <w:jc w:val="both"/>
              <w:rPr>
                <w:sz w:val="22"/>
              </w:rPr>
            </w:pPr>
            <w:r w:rsidRPr="00771A9F">
              <w:rPr>
                <w:sz w:val="22"/>
              </w:rPr>
              <w:t>Sixteen (16) scheduled chapter events/meetings a year with at least 60% participation</w:t>
            </w:r>
          </w:p>
        </w:tc>
        <w:tc>
          <w:tcPr>
            <w:tcW w:w="656" w:type="dxa"/>
            <w:shd w:val="clear" w:color="auto" w:fill="auto"/>
          </w:tcPr>
          <w:p w14:paraId="724B947D" w14:textId="77777777" w:rsidR="00ED4364" w:rsidRPr="00771A9F" w:rsidRDefault="00ED4364" w:rsidP="00E5743C">
            <w:pPr>
              <w:pStyle w:val="Header"/>
              <w:tabs>
                <w:tab w:val="clear" w:pos="4320"/>
                <w:tab w:val="clear" w:pos="8640"/>
              </w:tabs>
              <w:jc w:val="both"/>
              <w:rPr>
                <w:sz w:val="22"/>
              </w:rPr>
            </w:pPr>
            <w:r w:rsidRPr="00771A9F">
              <w:rPr>
                <w:sz w:val="22"/>
              </w:rPr>
              <w:t>240</w:t>
            </w:r>
          </w:p>
        </w:tc>
      </w:tr>
      <w:tr w:rsidR="00ED4364" w:rsidRPr="00771A9F" w14:paraId="188B3309" w14:textId="77777777" w:rsidTr="00E5743C">
        <w:tc>
          <w:tcPr>
            <w:tcW w:w="6760" w:type="dxa"/>
            <w:shd w:val="clear" w:color="auto" w:fill="auto"/>
          </w:tcPr>
          <w:p w14:paraId="21C91332" w14:textId="77777777" w:rsidR="00ED4364" w:rsidRPr="00771A9F" w:rsidRDefault="00ED4364" w:rsidP="00E5743C">
            <w:pPr>
              <w:pStyle w:val="Header"/>
              <w:tabs>
                <w:tab w:val="clear" w:pos="4320"/>
                <w:tab w:val="clear" w:pos="8640"/>
              </w:tabs>
              <w:jc w:val="both"/>
              <w:rPr>
                <w:sz w:val="22"/>
              </w:rPr>
            </w:pPr>
            <w:r w:rsidRPr="00771A9F">
              <w:rPr>
                <w:sz w:val="22"/>
              </w:rPr>
              <w:t>Four (4) organized and executed community service events</w:t>
            </w:r>
          </w:p>
        </w:tc>
        <w:tc>
          <w:tcPr>
            <w:tcW w:w="656" w:type="dxa"/>
            <w:shd w:val="clear" w:color="auto" w:fill="auto"/>
          </w:tcPr>
          <w:p w14:paraId="39F21E8F" w14:textId="77777777" w:rsidR="00ED4364" w:rsidRPr="00771A9F" w:rsidRDefault="00ED4364" w:rsidP="00E5743C">
            <w:pPr>
              <w:pStyle w:val="Header"/>
              <w:tabs>
                <w:tab w:val="clear" w:pos="4320"/>
                <w:tab w:val="clear" w:pos="8640"/>
              </w:tabs>
              <w:jc w:val="both"/>
              <w:rPr>
                <w:sz w:val="22"/>
              </w:rPr>
            </w:pPr>
            <w:r w:rsidRPr="00771A9F">
              <w:rPr>
                <w:sz w:val="22"/>
              </w:rPr>
              <w:t>80</w:t>
            </w:r>
          </w:p>
        </w:tc>
      </w:tr>
      <w:tr w:rsidR="00ED4364" w:rsidRPr="00771A9F" w14:paraId="2906DEBE" w14:textId="77777777" w:rsidTr="00E5743C">
        <w:tc>
          <w:tcPr>
            <w:tcW w:w="6760" w:type="dxa"/>
            <w:shd w:val="clear" w:color="auto" w:fill="auto"/>
          </w:tcPr>
          <w:p w14:paraId="2F31A701" w14:textId="77777777" w:rsidR="00ED4364" w:rsidRPr="00771A9F" w:rsidRDefault="00ED4364" w:rsidP="00E5743C">
            <w:pPr>
              <w:pStyle w:val="Header"/>
              <w:tabs>
                <w:tab w:val="clear" w:pos="4320"/>
                <w:tab w:val="clear" w:pos="8640"/>
              </w:tabs>
              <w:jc w:val="both"/>
              <w:rPr>
                <w:sz w:val="22"/>
              </w:rPr>
            </w:pPr>
            <w:r w:rsidRPr="00771A9F">
              <w:rPr>
                <w:sz w:val="22"/>
              </w:rPr>
              <w:t>Four (4) additional community service events</w:t>
            </w:r>
          </w:p>
        </w:tc>
        <w:tc>
          <w:tcPr>
            <w:tcW w:w="656" w:type="dxa"/>
            <w:shd w:val="clear" w:color="auto" w:fill="auto"/>
          </w:tcPr>
          <w:p w14:paraId="1EE096D3" w14:textId="77777777" w:rsidR="00ED4364" w:rsidRPr="00771A9F" w:rsidRDefault="00ED4364" w:rsidP="00E5743C">
            <w:pPr>
              <w:pStyle w:val="Header"/>
              <w:tabs>
                <w:tab w:val="clear" w:pos="4320"/>
                <w:tab w:val="clear" w:pos="8640"/>
              </w:tabs>
              <w:jc w:val="both"/>
              <w:rPr>
                <w:sz w:val="22"/>
              </w:rPr>
            </w:pPr>
            <w:r w:rsidRPr="00771A9F">
              <w:rPr>
                <w:sz w:val="22"/>
              </w:rPr>
              <w:t>40</w:t>
            </w:r>
          </w:p>
        </w:tc>
      </w:tr>
      <w:tr w:rsidR="00ED4364" w:rsidRPr="00771A9F" w14:paraId="103D2BCA" w14:textId="77777777" w:rsidTr="00E5743C">
        <w:tc>
          <w:tcPr>
            <w:tcW w:w="6760" w:type="dxa"/>
            <w:shd w:val="clear" w:color="auto" w:fill="auto"/>
          </w:tcPr>
          <w:p w14:paraId="079BDA72" w14:textId="77777777" w:rsidR="00ED4364" w:rsidRPr="00771A9F" w:rsidRDefault="00ED4364" w:rsidP="00E5743C">
            <w:pPr>
              <w:pStyle w:val="Header"/>
              <w:tabs>
                <w:tab w:val="clear" w:pos="4320"/>
                <w:tab w:val="clear" w:pos="8640"/>
              </w:tabs>
              <w:jc w:val="both"/>
              <w:rPr>
                <w:sz w:val="22"/>
              </w:rPr>
            </w:pPr>
            <w:r w:rsidRPr="00771A9F">
              <w:rPr>
                <w:sz w:val="22"/>
              </w:rPr>
              <w:t>Fifteen (15) alumni participation</w:t>
            </w:r>
          </w:p>
        </w:tc>
        <w:tc>
          <w:tcPr>
            <w:tcW w:w="656" w:type="dxa"/>
            <w:shd w:val="clear" w:color="auto" w:fill="auto"/>
          </w:tcPr>
          <w:p w14:paraId="0117FC78" w14:textId="77777777" w:rsidR="00ED4364" w:rsidRPr="00771A9F" w:rsidRDefault="00ED4364" w:rsidP="00E5743C">
            <w:pPr>
              <w:pStyle w:val="Header"/>
              <w:tabs>
                <w:tab w:val="clear" w:pos="4320"/>
                <w:tab w:val="clear" w:pos="8640"/>
              </w:tabs>
              <w:jc w:val="both"/>
              <w:rPr>
                <w:sz w:val="22"/>
              </w:rPr>
            </w:pPr>
            <w:r w:rsidRPr="00771A9F">
              <w:rPr>
                <w:sz w:val="22"/>
              </w:rPr>
              <w:t>15</w:t>
            </w:r>
          </w:p>
        </w:tc>
      </w:tr>
      <w:tr w:rsidR="00ED4364" w:rsidRPr="00771A9F" w14:paraId="6644C5BC" w14:textId="77777777" w:rsidTr="00E5743C">
        <w:tc>
          <w:tcPr>
            <w:tcW w:w="6760" w:type="dxa"/>
            <w:shd w:val="clear" w:color="auto" w:fill="auto"/>
          </w:tcPr>
          <w:p w14:paraId="15C58D99" w14:textId="77777777" w:rsidR="00ED4364" w:rsidRPr="00771A9F" w:rsidRDefault="00ED4364" w:rsidP="00E5743C">
            <w:pPr>
              <w:pStyle w:val="Header"/>
              <w:tabs>
                <w:tab w:val="clear" w:pos="4320"/>
                <w:tab w:val="clear" w:pos="8640"/>
              </w:tabs>
              <w:jc w:val="both"/>
              <w:rPr>
                <w:sz w:val="22"/>
              </w:rPr>
            </w:pPr>
            <w:r w:rsidRPr="00771A9F">
              <w:rPr>
                <w:sz w:val="22"/>
              </w:rPr>
              <w:t xml:space="preserve">One participant at </w:t>
            </w:r>
            <w:r>
              <w:rPr>
                <w:sz w:val="22"/>
              </w:rPr>
              <w:t>Leadership Symposium</w:t>
            </w:r>
          </w:p>
        </w:tc>
        <w:tc>
          <w:tcPr>
            <w:tcW w:w="656" w:type="dxa"/>
            <w:shd w:val="clear" w:color="auto" w:fill="auto"/>
          </w:tcPr>
          <w:p w14:paraId="56D5E1D0" w14:textId="77777777" w:rsidR="00ED4364" w:rsidRPr="00771A9F" w:rsidRDefault="00ED4364" w:rsidP="00E5743C">
            <w:pPr>
              <w:pStyle w:val="Header"/>
              <w:tabs>
                <w:tab w:val="clear" w:pos="4320"/>
                <w:tab w:val="clear" w:pos="8640"/>
              </w:tabs>
              <w:jc w:val="both"/>
              <w:rPr>
                <w:sz w:val="22"/>
              </w:rPr>
            </w:pPr>
            <w:r w:rsidRPr="00771A9F">
              <w:rPr>
                <w:sz w:val="22"/>
              </w:rPr>
              <w:t>25</w:t>
            </w:r>
          </w:p>
        </w:tc>
      </w:tr>
      <w:tr w:rsidR="00ED4364" w:rsidRPr="00771A9F" w14:paraId="37EB3BC4" w14:textId="77777777" w:rsidTr="00E5743C">
        <w:tc>
          <w:tcPr>
            <w:tcW w:w="6760" w:type="dxa"/>
            <w:shd w:val="clear" w:color="auto" w:fill="auto"/>
          </w:tcPr>
          <w:p w14:paraId="7762A54B" w14:textId="77777777" w:rsidR="00ED4364" w:rsidRPr="00771A9F" w:rsidRDefault="00ED4364" w:rsidP="00E5743C">
            <w:pPr>
              <w:pStyle w:val="Header"/>
              <w:tabs>
                <w:tab w:val="clear" w:pos="4320"/>
                <w:tab w:val="clear" w:pos="8640"/>
              </w:tabs>
              <w:jc w:val="both"/>
              <w:rPr>
                <w:sz w:val="22"/>
              </w:rPr>
            </w:pPr>
            <w:r w:rsidRPr="00771A9F">
              <w:rPr>
                <w:sz w:val="22"/>
              </w:rPr>
              <w:t>Five participants at Annual Conference</w:t>
            </w:r>
          </w:p>
        </w:tc>
        <w:tc>
          <w:tcPr>
            <w:tcW w:w="656" w:type="dxa"/>
            <w:shd w:val="clear" w:color="auto" w:fill="auto"/>
          </w:tcPr>
          <w:p w14:paraId="1E6C32F2" w14:textId="77777777" w:rsidR="00ED4364" w:rsidRPr="00771A9F" w:rsidRDefault="00ED4364" w:rsidP="00E5743C">
            <w:pPr>
              <w:pStyle w:val="Header"/>
              <w:tabs>
                <w:tab w:val="clear" w:pos="4320"/>
                <w:tab w:val="clear" w:pos="8640"/>
              </w:tabs>
              <w:jc w:val="both"/>
              <w:rPr>
                <w:sz w:val="22"/>
              </w:rPr>
            </w:pPr>
            <w:r w:rsidRPr="00771A9F">
              <w:rPr>
                <w:sz w:val="22"/>
              </w:rPr>
              <w:t>100</w:t>
            </w:r>
          </w:p>
        </w:tc>
      </w:tr>
      <w:tr w:rsidR="00ED4364" w:rsidRPr="00771A9F" w14:paraId="5E3549ED" w14:textId="77777777" w:rsidTr="00E5743C">
        <w:tc>
          <w:tcPr>
            <w:tcW w:w="6760" w:type="dxa"/>
            <w:shd w:val="clear" w:color="auto" w:fill="auto"/>
          </w:tcPr>
          <w:p w14:paraId="56609D7A" w14:textId="77777777" w:rsidR="00ED4364" w:rsidRPr="00771A9F" w:rsidRDefault="00ED4364" w:rsidP="00E5743C">
            <w:pPr>
              <w:pStyle w:val="Header"/>
              <w:tabs>
                <w:tab w:val="clear" w:pos="4320"/>
                <w:tab w:val="clear" w:pos="8640"/>
              </w:tabs>
              <w:jc w:val="both"/>
              <w:rPr>
                <w:b/>
                <w:sz w:val="22"/>
              </w:rPr>
            </w:pPr>
            <w:r w:rsidRPr="00771A9F">
              <w:rPr>
                <w:b/>
                <w:sz w:val="22"/>
              </w:rPr>
              <w:t>Total Minimum Required Points</w:t>
            </w:r>
          </w:p>
        </w:tc>
        <w:tc>
          <w:tcPr>
            <w:tcW w:w="656" w:type="dxa"/>
            <w:shd w:val="clear" w:color="auto" w:fill="auto"/>
          </w:tcPr>
          <w:p w14:paraId="538631E7" w14:textId="77777777" w:rsidR="00ED4364" w:rsidRPr="00771A9F" w:rsidRDefault="00ED4364" w:rsidP="00E5743C">
            <w:pPr>
              <w:pStyle w:val="Header"/>
              <w:tabs>
                <w:tab w:val="clear" w:pos="4320"/>
                <w:tab w:val="clear" w:pos="8640"/>
              </w:tabs>
              <w:jc w:val="both"/>
              <w:rPr>
                <w:b/>
                <w:sz w:val="22"/>
              </w:rPr>
            </w:pPr>
            <w:r>
              <w:rPr>
                <w:b/>
                <w:sz w:val="22"/>
              </w:rPr>
              <w:t>6</w:t>
            </w:r>
            <w:r>
              <w:rPr>
                <w:b/>
                <w:sz w:val="22"/>
              </w:rPr>
              <w:t>80</w:t>
            </w:r>
          </w:p>
        </w:tc>
      </w:tr>
    </w:tbl>
    <w:p w14:paraId="3D61EF3A" w14:textId="77777777" w:rsidR="00ED4364" w:rsidRDefault="00ED4364" w:rsidP="00ED4364">
      <w:pPr>
        <w:ind w:left="1440"/>
        <w:jc w:val="both"/>
        <w:rPr>
          <w:sz w:val="22"/>
        </w:rPr>
      </w:pPr>
    </w:p>
    <w:p w14:paraId="71234DA6" w14:textId="77777777" w:rsidR="00ED4364" w:rsidRDefault="00ED4364" w:rsidP="00ED4364">
      <w:pPr>
        <w:numPr>
          <w:ilvl w:val="0"/>
          <w:numId w:val="1"/>
        </w:numPr>
        <w:jc w:val="both"/>
        <w:rPr>
          <w:sz w:val="22"/>
        </w:rPr>
      </w:pPr>
      <w:r>
        <w:rPr>
          <w:sz w:val="22"/>
        </w:rPr>
        <w:t>Distinguished Chapter Awards</w:t>
      </w:r>
    </w:p>
    <w:p w14:paraId="7266C161" w14:textId="77777777" w:rsidR="00ED4364" w:rsidRDefault="00ED4364" w:rsidP="00ED4364">
      <w:pPr>
        <w:numPr>
          <w:ilvl w:val="1"/>
          <w:numId w:val="1"/>
        </w:numPr>
        <w:jc w:val="both"/>
        <w:rPr>
          <w:sz w:val="22"/>
        </w:rPr>
      </w:pPr>
      <w:r>
        <w:rPr>
          <w:sz w:val="22"/>
        </w:rPr>
        <w:t>Must receive points from each of the six categories;</w:t>
      </w:r>
    </w:p>
    <w:p w14:paraId="6B158B9D" w14:textId="77777777" w:rsidR="00ED4364" w:rsidRDefault="00ED4364" w:rsidP="00ED4364">
      <w:pPr>
        <w:numPr>
          <w:ilvl w:val="1"/>
          <w:numId w:val="1"/>
        </w:numPr>
        <w:jc w:val="both"/>
        <w:rPr>
          <w:sz w:val="22"/>
        </w:rPr>
      </w:pPr>
      <w:r>
        <w:rPr>
          <w:sz w:val="22"/>
        </w:rPr>
        <w:t>Must receive the Minimum Required Points, as defined above in Standard Requirements for a Well-Rounded Chapter.</w:t>
      </w:r>
    </w:p>
    <w:p w14:paraId="3499FD19" w14:textId="77777777" w:rsidR="00ED4364" w:rsidRDefault="00ED4364" w:rsidP="00ED4364">
      <w:pPr>
        <w:numPr>
          <w:ilvl w:val="1"/>
          <w:numId w:val="1"/>
        </w:numPr>
        <w:jc w:val="both"/>
        <w:rPr>
          <w:sz w:val="22"/>
        </w:rPr>
      </w:pPr>
      <w:r>
        <w:rPr>
          <w:sz w:val="22"/>
        </w:rPr>
        <w:t xml:space="preserve">Chapter Improvement Award = Any chapter who had at least a </w:t>
      </w:r>
      <w:proofErr w:type="gramStart"/>
      <w:r>
        <w:rPr>
          <w:sz w:val="22"/>
        </w:rPr>
        <w:t>100 point</w:t>
      </w:r>
      <w:proofErr w:type="gramEnd"/>
      <w:r>
        <w:rPr>
          <w:sz w:val="22"/>
        </w:rPr>
        <w:t xml:space="preserve"> increase in MCR over the prior year;</w:t>
      </w:r>
    </w:p>
    <w:p w14:paraId="128F73B0" w14:textId="77777777" w:rsidR="00ED4364" w:rsidRDefault="00ED4364" w:rsidP="00ED4364">
      <w:pPr>
        <w:numPr>
          <w:ilvl w:val="1"/>
          <w:numId w:val="1"/>
        </w:numPr>
        <w:jc w:val="both"/>
        <w:rPr>
          <w:sz w:val="22"/>
        </w:rPr>
      </w:pPr>
      <w:r>
        <w:rPr>
          <w:sz w:val="22"/>
        </w:rPr>
        <w:t>Superior Chapter = &gt;1500 POINTS</w:t>
      </w:r>
    </w:p>
    <w:p w14:paraId="2455E4FB" w14:textId="77777777" w:rsidR="00ED4364" w:rsidRDefault="00ED4364" w:rsidP="00ED4364">
      <w:pPr>
        <w:numPr>
          <w:ilvl w:val="1"/>
          <w:numId w:val="1"/>
        </w:numPr>
        <w:jc w:val="both"/>
        <w:rPr>
          <w:sz w:val="22"/>
        </w:rPr>
      </w:pPr>
      <w:r>
        <w:rPr>
          <w:sz w:val="22"/>
        </w:rPr>
        <w:t>Excellent Chapter = 1250-1499 POINTS</w:t>
      </w:r>
    </w:p>
    <w:p w14:paraId="0E3E33F3" w14:textId="77777777" w:rsidR="00ED4364" w:rsidRDefault="00ED4364" w:rsidP="00ED4364">
      <w:pPr>
        <w:numPr>
          <w:ilvl w:val="1"/>
          <w:numId w:val="1"/>
        </w:numPr>
        <w:jc w:val="both"/>
        <w:rPr>
          <w:sz w:val="22"/>
        </w:rPr>
      </w:pPr>
      <w:r>
        <w:rPr>
          <w:sz w:val="22"/>
        </w:rPr>
        <w:t>Additional points may be received in any other manner as defined in the MCR.</w:t>
      </w:r>
    </w:p>
    <w:p w14:paraId="035B9EB0" w14:textId="77777777" w:rsidR="00ED4364" w:rsidRDefault="00ED4364" w:rsidP="00ED4364">
      <w:pPr>
        <w:pStyle w:val="Header"/>
        <w:tabs>
          <w:tab w:val="clear" w:pos="4320"/>
          <w:tab w:val="clear" w:pos="8640"/>
        </w:tabs>
        <w:jc w:val="both"/>
        <w:rPr>
          <w:sz w:val="22"/>
        </w:rPr>
      </w:pPr>
    </w:p>
    <w:p w14:paraId="6CE37C42" w14:textId="77777777" w:rsidR="00D36C95" w:rsidRDefault="00D36C95"/>
    <w:p w14:paraId="6E22E443" w14:textId="77777777" w:rsidR="00ED4364" w:rsidRDefault="00ED4364"/>
    <w:p w14:paraId="4B9BDAF2" w14:textId="77777777" w:rsidR="00ED4364" w:rsidRDefault="00ED4364"/>
    <w:p w14:paraId="352B5274" w14:textId="77777777" w:rsidR="00ED4364" w:rsidRDefault="00ED4364"/>
    <w:p w14:paraId="5A06EC21" w14:textId="77777777" w:rsidR="00ED4364" w:rsidRDefault="00ED4364"/>
    <w:p w14:paraId="569D8C79" w14:textId="77777777" w:rsidR="00ED4364" w:rsidRDefault="00ED4364"/>
    <w:p w14:paraId="7522D9AB" w14:textId="77777777" w:rsidR="00ED4364" w:rsidRDefault="00ED4364"/>
    <w:p w14:paraId="55055B8C" w14:textId="77777777" w:rsidR="00ED4364" w:rsidRDefault="00ED4364"/>
    <w:p w14:paraId="4995EF63" w14:textId="77777777" w:rsidR="00ED4364" w:rsidRDefault="00ED4364"/>
    <w:p w14:paraId="180D8787" w14:textId="77777777" w:rsidR="00ED4364" w:rsidRDefault="00ED4364"/>
    <w:p w14:paraId="5A15025C" w14:textId="77777777" w:rsidR="00ED4364" w:rsidRDefault="00ED4364"/>
    <w:p w14:paraId="730865BA" w14:textId="77777777" w:rsidR="00ED4364" w:rsidRPr="00ED4364" w:rsidRDefault="00ED4364" w:rsidP="00ED4364">
      <w:pPr>
        <w:jc w:val="both"/>
        <w:rPr>
          <w:b/>
          <w:u w:val="single"/>
        </w:rPr>
      </w:pPr>
      <w:r w:rsidRPr="00ED4364">
        <w:rPr>
          <w:b/>
          <w:u w:val="single"/>
        </w:rPr>
        <w:t>MONTHLY CHAPTER REPORT (MCR) POINT SYSTEM</w:t>
      </w:r>
      <w:r>
        <w:rPr>
          <w:b/>
          <w:u w:val="single"/>
        </w:rPr>
        <w:t xml:space="preserve"> BREAKDOWN</w:t>
      </w:r>
    </w:p>
    <w:p w14:paraId="24337666" w14:textId="77777777" w:rsidR="00ED4364" w:rsidRPr="00ED4364" w:rsidRDefault="00ED4364" w:rsidP="00ED4364">
      <w:pPr>
        <w:jc w:val="both"/>
        <w:rPr>
          <w:b/>
          <w:u w:val="single"/>
        </w:rPr>
      </w:pPr>
    </w:p>
    <w:p w14:paraId="6551FB32" w14:textId="77777777" w:rsidR="00ED4364" w:rsidRPr="00ED4364" w:rsidRDefault="00ED4364" w:rsidP="00ED4364">
      <w:pPr>
        <w:numPr>
          <w:ilvl w:val="0"/>
          <w:numId w:val="2"/>
        </w:numPr>
        <w:jc w:val="both"/>
        <w:rPr>
          <w:b/>
          <w:smallCaps/>
        </w:rPr>
      </w:pPr>
      <w:r w:rsidRPr="00ED4364">
        <w:rPr>
          <w:b/>
          <w:smallCaps/>
        </w:rPr>
        <w:t>Chapter Viability and Administration</w:t>
      </w:r>
    </w:p>
    <w:p w14:paraId="151EACB2" w14:textId="77777777" w:rsidR="00ED4364" w:rsidRPr="00ED4364" w:rsidRDefault="00ED4364" w:rsidP="00ED4364">
      <w:pPr>
        <w:numPr>
          <w:ilvl w:val="0"/>
          <w:numId w:val="3"/>
        </w:numPr>
        <w:jc w:val="both"/>
      </w:pPr>
      <w:r w:rsidRPr="00ED4364">
        <w:t>TEN (10) points for each monthly report submitted by the 10</w:t>
      </w:r>
      <w:r w:rsidRPr="00ED4364">
        <w:rPr>
          <w:vertAlign w:val="superscript"/>
        </w:rPr>
        <w:t>th</w:t>
      </w:r>
      <w:r w:rsidRPr="00ED4364">
        <w:t xml:space="preserve"> of the following month in acceptable format.  (Four points maximum if later that the 10</w:t>
      </w:r>
      <w:r w:rsidRPr="00ED4364">
        <w:rPr>
          <w:vertAlign w:val="superscript"/>
        </w:rPr>
        <w:t>th</w:t>
      </w:r>
      <w:r w:rsidRPr="00ED4364">
        <w:t xml:space="preserve">). A total of 10 reports should be submitted each academic year for the months of August through May. </w:t>
      </w:r>
    </w:p>
    <w:p w14:paraId="54D3E1FC" w14:textId="77777777" w:rsidR="00ED4364" w:rsidRPr="00ED4364" w:rsidRDefault="00ED4364" w:rsidP="00ED4364">
      <w:pPr>
        <w:numPr>
          <w:ilvl w:val="0"/>
          <w:numId w:val="3"/>
        </w:numPr>
        <w:jc w:val="both"/>
      </w:pPr>
      <w:r w:rsidRPr="00ED4364">
        <w:t>TEN (10) points for reporting officers to Grand Chapter in the Chapter Update Form, which is due along with the August and January reports. (Five points if reported at least twice in academic year, but during different months than above)</w:t>
      </w:r>
    </w:p>
    <w:p w14:paraId="5F9158A9" w14:textId="77777777" w:rsidR="00ED4364" w:rsidRPr="00ED4364" w:rsidRDefault="00ED4364" w:rsidP="00ED4364">
      <w:pPr>
        <w:numPr>
          <w:ilvl w:val="0"/>
          <w:numId w:val="3"/>
        </w:numPr>
        <w:jc w:val="both"/>
      </w:pPr>
      <w:r w:rsidRPr="00ED4364">
        <w:t>FIVE (5) points for each officers’ meeting held during month (up to maximum of four officer meetings per report)</w:t>
      </w:r>
    </w:p>
    <w:p w14:paraId="66033C9C" w14:textId="77777777" w:rsidR="00ED4364" w:rsidRPr="00ED4364" w:rsidRDefault="00ED4364" w:rsidP="00ED4364">
      <w:pPr>
        <w:numPr>
          <w:ilvl w:val="0"/>
          <w:numId w:val="3"/>
        </w:numPr>
        <w:jc w:val="both"/>
      </w:pPr>
      <w:r w:rsidRPr="00ED4364">
        <w:t>TEN (10) points for display of charter in a safe and satisfactory location each year</w:t>
      </w:r>
    </w:p>
    <w:p w14:paraId="2539181F" w14:textId="77777777" w:rsidR="00ED4364" w:rsidRPr="00ED4364" w:rsidRDefault="00ED4364" w:rsidP="00ED4364">
      <w:pPr>
        <w:numPr>
          <w:ilvl w:val="0"/>
          <w:numId w:val="3"/>
        </w:numPr>
        <w:jc w:val="both"/>
      </w:pPr>
      <w:r w:rsidRPr="00ED4364">
        <w:t>TEN (10) points for submission of chapter by-laws each year to Grand Chapter.</w:t>
      </w:r>
    </w:p>
    <w:p w14:paraId="1A5F22DF" w14:textId="77777777" w:rsidR="00ED4364" w:rsidRPr="00ED4364" w:rsidRDefault="00ED4364" w:rsidP="00ED4364">
      <w:pPr>
        <w:numPr>
          <w:ilvl w:val="0"/>
          <w:numId w:val="3"/>
        </w:numPr>
        <w:jc w:val="both"/>
      </w:pPr>
      <w:r w:rsidRPr="00ED4364">
        <w:t xml:space="preserve">TEN (10) points for submission of the chapter affiliation agreement each year to the Grand Chapter. </w:t>
      </w:r>
    </w:p>
    <w:p w14:paraId="4EC99509" w14:textId="77777777" w:rsidR="00ED4364" w:rsidRPr="00ED4364" w:rsidRDefault="00ED4364" w:rsidP="00ED4364">
      <w:pPr>
        <w:jc w:val="both"/>
      </w:pPr>
    </w:p>
    <w:p w14:paraId="266753D0" w14:textId="77777777" w:rsidR="00ED4364" w:rsidRPr="00ED4364" w:rsidRDefault="00ED4364" w:rsidP="00ED4364">
      <w:pPr>
        <w:numPr>
          <w:ilvl w:val="0"/>
          <w:numId w:val="2"/>
        </w:numPr>
        <w:jc w:val="both"/>
        <w:rPr>
          <w:b/>
          <w:smallCaps/>
        </w:rPr>
      </w:pPr>
      <w:r w:rsidRPr="00ED4364">
        <w:rPr>
          <w:b/>
          <w:smallCaps/>
        </w:rPr>
        <w:t>Scheduled Chapter Events and Meetings</w:t>
      </w:r>
    </w:p>
    <w:p w14:paraId="6507085C" w14:textId="77777777" w:rsidR="00ED4364" w:rsidRPr="00ED4364" w:rsidRDefault="00ED4364" w:rsidP="00ED4364">
      <w:pPr>
        <w:numPr>
          <w:ilvl w:val="0"/>
          <w:numId w:val="4"/>
        </w:numPr>
        <w:jc w:val="both"/>
      </w:pPr>
      <w:r w:rsidRPr="00ED4364">
        <w:t xml:space="preserve">Up to TWENTY (20) points for each full chapter meeting or scheduled fraternity event held for each month reported </w:t>
      </w:r>
      <w:r w:rsidRPr="00ED4364">
        <w:rPr>
          <w:b/>
        </w:rPr>
        <w:t>(Official Gamma Iota Sigma banner must be displayed).</w:t>
      </w:r>
      <w:r w:rsidRPr="00ED4364">
        <w:t xml:space="preserve">  Chapter meeting or scheduled fraternity event does not include community service/charity events.  Points will be determined based on percentage of student membership in attendance.</w:t>
      </w:r>
    </w:p>
    <w:p w14:paraId="59D89B4B" w14:textId="77777777" w:rsidR="00ED4364" w:rsidRPr="00ED4364" w:rsidRDefault="00ED4364" w:rsidP="00ED4364">
      <w:pPr>
        <w:numPr>
          <w:ilvl w:val="1"/>
          <w:numId w:val="4"/>
        </w:numPr>
        <w:jc w:val="both"/>
      </w:pPr>
      <w:r w:rsidRPr="00ED4364">
        <w:t>100-80% = 20</w:t>
      </w:r>
    </w:p>
    <w:p w14:paraId="65CA7F55" w14:textId="77777777" w:rsidR="00ED4364" w:rsidRPr="00ED4364" w:rsidRDefault="00ED4364" w:rsidP="00ED4364">
      <w:pPr>
        <w:numPr>
          <w:ilvl w:val="1"/>
          <w:numId w:val="4"/>
        </w:numPr>
        <w:jc w:val="both"/>
      </w:pPr>
      <w:r w:rsidRPr="00ED4364">
        <w:t>80-60% = 15</w:t>
      </w:r>
    </w:p>
    <w:p w14:paraId="2483E015" w14:textId="77777777" w:rsidR="00ED4364" w:rsidRPr="00ED4364" w:rsidRDefault="00ED4364" w:rsidP="00ED4364">
      <w:pPr>
        <w:numPr>
          <w:ilvl w:val="1"/>
          <w:numId w:val="4"/>
        </w:numPr>
        <w:jc w:val="both"/>
      </w:pPr>
      <w:r w:rsidRPr="00ED4364">
        <w:t>60-40% = 10</w:t>
      </w:r>
    </w:p>
    <w:p w14:paraId="7238574C" w14:textId="77777777" w:rsidR="00ED4364" w:rsidRPr="00ED4364" w:rsidRDefault="00ED4364" w:rsidP="00ED4364">
      <w:pPr>
        <w:numPr>
          <w:ilvl w:val="1"/>
          <w:numId w:val="4"/>
        </w:numPr>
        <w:jc w:val="both"/>
      </w:pPr>
      <w:r w:rsidRPr="00ED4364">
        <w:t>40-5% = 5</w:t>
      </w:r>
    </w:p>
    <w:p w14:paraId="7679FE5C" w14:textId="77777777" w:rsidR="00ED4364" w:rsidRPr="00ED4364" w:rsidRDefault="00ED4364" w:rsidP="00ED4364">
      <w:pPr>
        <w:ind w:left="1440"/>
        <w:jc w:val="both"/>
      </w:pPr>
      <w:r w:rsidRPr="00ED4364">
        <w:t>**Membership percentages will be based on the total chapter membership of the previous academic year that is reflected in the Donor Perfect records as of June. Recognizing there may be fluctuations in membership, special circumstances can be evaluated by awards committee.  New chapters will be based on the number of chartering members.</w:t>
      </w:r>
    </w:p>
    <w:p w14:paraId="41200416" w14:textId="77777777" w:rsidR="00ED4364" w:rsidRPr="00ED4364" w:rsidRDefault="00ED4364" w:rsidP="00ED4364">
      <w:pPr>
        <w:jc w:val="both"/>
        <w:rPr>
          <w:b/>
        </w:rPr>
      </w:pPr>
    </w:p>
    <w:p w14:paraId="044992CB" w14:textId="77777777" w:rsidR="00ED4364" w:rsidRPr="00ED4364" w:rsidRDefault="00ED4364" w:rsidP="00ED4364">
      <w:pPr>
        <w:numPr>
          <w:ilvl w:val="0"/>
          <w:numId w:val="2"/>
        </w:numPr>
        <w:jc w:val="both"/>
        <w:rPr>
          <w:b/>
          <w:smallCaps/>
        </w:rPr>
      </w:pPr>
      <w:r w:rsidRPr="00ED4364">
        <w:rPr>
          <w:b/>
          <w:smallCaps/>
        </w:rPr>
        <w:t>Community and Public Service Activities</w:t>
      </w:r>
    </w:p>
    <w:p w14:paraId="15911E36" w14:textId="77777777" w:rsidR="00ED4364" w:rsidRPr="00ED4364" w:rsidRDefault="00ED4364" w:rsidP="00ED4364">
      <w:pPr>
        <w:numPr>
          <w:ilvl w:val="0"/>
          <w:numId w:val="4"/>
        </w:numPr>
        <w:jc w:val="both"/>
      </w:pPr>
      <w:r w:rsidRPr="00ED4364">
        <w:t xml:space="preserve">TWENTY (20) points will be awarded when the chapter organizes, promotes and provides leadership for an on- or off- campus charitable or philanthropic event. </w:t>
      </w:r>
    </w:p>
    <w:p w14:paraId="7B40B463" w14:textId="77777777" w:rsidR="00ED4364" w:rsidRPr="00ED4364" w:rsidRDefault="00ED4364" w:rsidP="00ED4364">
      <w:pPr>
        <w:numPr>
          <w:ilvl w:val="0"/>
          <w:numId w:val="4"/>
        </w:numPr>
        <w:jc w:val="both"/>
      </w:pPr>
      <w:r w:rsidRPr="00ED4364">
        <w:t>TEN (10) points will be awarded when the chapter formally participates in an on-or off-campus charitable or philanthropic event in which the chapter is not the organizer.</w:t>
      </w:r>
    </w:p>
    <w:p w14:paraId="7C5531B2" w14:textId="77777777" w:rsidR="00ED4364" w:rsidRPr="00ED4364" w:rsidRDefault="00ED4364" w:rsidP="00ED4364">
      <w:pPr>
        <w:ind w:left="720"/>
        <w:jc w:val="both"/>
      </w:pPr>
    </w:p>
    <w:p w14:paraId="6B60840E" w14:textId="77777777" w:rsidR="00ED4364" w:rsidRPr="00ED4364" w:rsidRDefault="00ED4364" w:rsidP="00ED4364">
      <w:pPr>
        <w:numPr>
          <w:ilvl w:val="0"/>
          <w:numId w:val="2"/>
        </w:numPr>
        <w:jc w:val="both"/>
        <w:rPr>
          <w:b/>
          <w:smallCaps/>
        </w:rPr>
      </w:pPr>
      <w:r w:rsidRPr="00ED4364">
        <w:rPr>
          <w:b/>
          <w:smallCaps/>
        </w:rPr>
        <w:t>Alumni Relations</w:t>
      </w:r>
    </w:p>
    <w:p w14:paraId="70B6F9CE" w14:textId="77777777" w:rsidR="00ED4364" w:rsidRPr="00ED4364" w:rsidRDefault="00ED4364" w:rsidP="00ED4364">
      <w:pPr>
        <w:numPr>
          <w:ilvl w:val="0"/>
          <w:numId w:val="5"/>
        </w:numPr>
        <w:jc w:val="both"/>
      </w:pPr>
      <w:r w:rsidRPr="00ED4364">
        <w:t>ONE (1) point for each chapter alumnus involved in a chapter meeting (as defined above) or community service event during the month up to 10 points per month.</w:t>
      </w:r>
    </w:p>
    <w:p w14:paraId="369A4341" w14:textId="77777777" w:rsidR="00ED4364" w:rsidRPr="00ED4364" w:rsidRDefault="00ED4364" w:rsidP="00ED4364">
      <w:pPr>
        <w:jc w:val="both"/>
      </w:pPr>
    </w:p>
    <w:p w14:paraId="5712F259" w14:textId="77777777" w:rsidR="00ED4364" w:rsidRPr="00ED4364" w:rsidRDefault="00ED4364" w:rsidP="00ED4364">
      <w:pPr>
        <w:numPr>
          <w:ilvl w:val="0"/>
          <w:numId w:val="2"/>
        </w:numPr>
        <w:jc w:val="both"/>
        <w:rPr>
          <w:b/>
          <w:smallCaps/>
        </w:rPr>
      </w:pPr>
      <w:r w:rsidRPr="00ED4364">
        <w:rPr>
          <w:b/>
          <w:smallCaps/>
        </w:rPr>
        <w:t>Inter-Chapter Activities</w:t>
      </w:r>
    </w:p>
    <w:p w14:paraId="0CE82317" w14:textId="77777777" w:rsidR="00ED4364" w:rsidRPr="00ED4364" w:rsidRDefault="00ED4364" w:rsidP="00ED4364">
      <w:pPr>
        <w:numPr>
          <w:ilvl w:val="0"/>
          <w:numId w:val="5"/>
        </w:numPr>
        <w:jc w:val="both"/>
      </w:pPr>
      <w:r w:rsidRPr="00ED4364">
        <w:t xml:space="preserve">TWENTY-FIVE (25) points for each participant of the Annual Leadership </w:t>
      </w:r>
      <w:r>
        <w:t>Symposium</w:t>
      </w:r>
      <w:bookmarkStart w:id="0" w:name="_GoBack"/>
      <w:bookmarkEnd w:id="0"/>
      <w:r w:rsidRPr="00ED4364">
        <w:t>, up to two participants.</w:t>
      </w:r>
    </w:p>
    <w:p w14:paraId="4096EC44" w14:textId="77777777" w:rsidR="00ED4364" w:rsidRPr="00ED4364" w:rsidRDefault="00ED4364" w:rsidP="00ED4364">
      <w:pPr>
        <w:numPr>
          <w:ilvl w:val="0"/>
          <w:numId w:val="5"/>
        </w:numPr>
        <w:jc w:val="both"/>
      </w:pPr>
      <w:r w:rsidRPr="00ED4364">
        <w:t>TWENTY (20) points for each participant of the Annual International Conference, up to five participants.</w:t>
      </w:r>
    </w:p>
    <w:p w14:paraId="78F2CE68" w14:textId="77777777" w:rsidR="00ED4364" w:rsidRPr="00ED4364" w:rsidRDefault="00ED4364" w:rsidP="00ED4364">
      <w:pPr>
        <w:numPr>
          <w:ilvl w:val="0"/>
          <w:numId w:val="5"/>
        </w:numPr>
        <w:jc w:val="both"/>
      </w:pPr>
      <w:r w:rsidRPr="00ED4364">
        <w:t xml:space="preserve">FIFTY (50) points for planning and executing an approved Inter-Chapter Event with at least five other GIS Chapters attending. </w:t>
      </w:r>
    </w:p>
    <w:p w14:paraId="15E56697" w14:textId="77777777" w:rsidR="00ED4364" w:rsidRPr="00ED4364" w:rsidRDefault="00ED4364" w:rsidP="00ED4364">
      <w:pPr>
        <w:numPr>
          <w:ilvl w:val="0"/>
          <w:numId w:val="5"/>
        </w:numPr>
        <w:jc w:val="both"/>
      </w:pPr>
      <w:r w:rsidRPr="00ED4364">
        <w:t xml:space="preserve">TEN (10) points for attending and participating in an Inter-Chapter Event hosted by another GIS Chapter (i.e. NAPSLO Symposium, Philadelphia Excursion, Detroit Showcase, Drake Symposium, </w:t>
      </w:r>
      <w:proofErr w:type="spellStart"/>
      <w:r w:rsidRPr="00ED4364">
        <w:t>etc</w:t>
      </w:r>
      <w:proofErr w:type="spellEnd"/>
      <w:r w:rsidRPr="00ED4364">
        <w:t>…)</w:t>
      </w:r>
    </w:p>
    <w:p w14:paraId="1C9D7D9C" w14:textId="77777777" w:rsidR="00ED4364" w:rsidRDefault="00ED4364" w:rsidP="00ED4364"/>
    <w:sectPr w:rsidR="00ED436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2B7B8" w14:textId="77777777" w:rsidR="00ED4364" w:rsidRDefault="00ED4364" w:rsidP="00ED4364">
      <w:r>
        <w:separator/>
      </w:r>
    </w:p>
  </w:endnote>
  <w:endnote w:type="continuationSeparator" w:id="0">
    <w:p w14:paraId="4A6F7CEA" w14:textId="77777777" w:rsidR="00ED4364" w:rsidRDefault="00ED4364" w:rsidP="00ED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04388" w14:textId="77777777" w:rsidR="00ED4364" w:rsidRDefault="00ED4364" w:rsidP="00ED4364">
      <w:r>
        <w:separator/>
      </w:r>
    </w:p>
  </w:footnote>
  <w:footnote w:type="continuationSeparator" w:id="0">
    <w:p w14:paraId="7FC7DCA6" w14:textId="77777777" w:rsidR="00ED4364" w:rsidRDefault="00ED4364" w:rsidP="00ED4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3CD64" w14:textId="77777777" w:rsidR="00ED4364" w:rsidRDefault="00ED4364" w:rsidP="00ED4364">
    <w:pPr>
      <w:pStyle w:val="Header"/>
      <w:jc w:val="center"/>
    </w:pPr>
    <w:r>
      <w:rPr>
        <w:noProof/>
      </w:rPr>
      <w:drawing>
        <wp:inline distT="0" distB="0" distL="0" distR="0" wp14:anchorId="36646A3B" wp14:editId="454C17A0">
          <wp:extent cx="2003078"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Slogo_highresTP.jpg"/>
                  <pic:cNvPicPr/>
                </pic:nvPicPr>
                <pic:blipFill>
                  <a:blip r:embed="rId1">
                    <a:extLst>
                      <a:ext uri="{28A0092B-C50C-407E-A947-70E740481C1C}">
                        <a14:useLocalDpi xmlns:a14="http://schemas.microsoft.com/office/drawing/2010/main" val="0"/>
                      </a:ext>
                    </a:extLst>
                  </a:blip>
                  <a:stretch>
                    <a:fillRect/>
                  </a:stretch>
                </pic:blipFill>
                <pic:spPr>
                  <a:xfrm>
                    <a:off x="0" y="0"/>
                    <a:ext cx="2037498" cy="8235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801"/>
    <w:multiLevelType w:val="hybridMultilevel"/>
    <w:tmpl w:val="00FE7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B6FAD"/>
    <w:multiLevelType w:val="hybridMultilevel"/>
    <w:tmpl w:val="716A8F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2428C2"/>
    <w:multiLevelType w:val="hybridMultilevel"/>
    <w:tmpl w:val="9810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43118"/>
    <w:multiLevelType w:val="hybridMultilevel"/>
    <w:tmpl w:val="B62E9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B60F21"/>
    <w:multiLevelType w:val="hybridMultilevel"/>
    <w:tmpl w:val="5D363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7601AAE">
      <w:start w:val="1"/>
      <w:numFmt w:val="bullet"/>
      <w:lvlText w:val=""/>
      <w:lvlJc w:val="left"/>
      <w:pPr>
        <w:ind w:left="2880" w:hanging="360"/>
      </w:pPr>
      <w:rPr>
        <w:rFonts w:ascii="Wingdings 2" w:hAnsi="Wingdings 2"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64"/>
    <w:rsid w:val="00D36C95"/>
    <w:rsid w:val="00ED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EDB2E"/>
  <w15:chartTrackingRefBased/>
  <w15:docId w15:val="{3A51B48B-D0E4-464F-ADEB-20B53475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3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D4364"/>
    <w:pPr>
      <w:tabs>
        <w:tab w:val="center" w:pos="4320"/>
        <w:tab w:val="right" w:pos="8640"/>
      </w:tabs>
    </w:pPr>
  </w:style>
  <w:style w:type="character" w:customStyle="1" w:styleId="HeaderChar">
    <w:name w:val="Header Char"/>
    <w:basedOn w:val="DefaultParagraphFont"/>
    <w:link w:val="Header"/>
    <w:semiHidden/>
    <w:rsid w:val="00ED436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D4364"/>
    <w:pPr>
      <w:tabs>
        <w:tab w:val="center" w:pos="4680"/>
        <w:tab w:val="right" w:pos="9360"/>
      </w:tabs>
    </w:pPr>
  </w:style>
  <w:style w:type="character" w:customStyle="1" w:styleId="FooterChar">
    <w:name w:val="Footer Char"/>
    <w:basedOn w:val="DefaultParagraphFont"/>
    <w:link w:val="Footer"/>
    <w:uiPriority w:val="99"/>
    <w:rsid w:val="00ED436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4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3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312CFB7058E49B270318873710D3B" ma:contentTypeVersion="11" ma:contentTypeDescription="Create a new document." ma:contentTypeScope="" ma:versionID="e35dbcb49622255a18fb9ab8a1ec0c98">
  <xsd:schema xmlns:xsd="http://www.w3.org/2001/XMLSchema" xmlns:xs="http://www.w3.org/2001/XMLSchema" xmlns:p="http://schemas.microsoft.com/office/2006/metadata/properties" xmlns:ns2="f1f4a48a-d87d-4274-badc-1016507e4323" xmlns:ns3="89f77d59-d1e2-40ab-aa8c-d7ccf0b1b52c" targetNamespace="http://schemas.microsoft.com/office/2006/metadata/properties" ma:root="true" ma:fieldsID="99b537200c41e705fba34dbbf1afe4a4" ns2:_="" ns3:_="">
    <xsd:import namespace="f1f4a48a-d87d-4274-badc-1016507e4323"/>
    <xsd:import namespace="89f77d59-d1e2-40ab-aa8c-d7ccf0b1b5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4a48a-d87d-4274-badc-1016507e4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77d59-d1e2-40ab-aa8c-d7ccf0b1b5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7582F-7979-45C6-AF42-A4A7ABA3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4a48a-d87d-4274-badc-1016507e4323"/>
    <ds:schemaRef ds:uri="89f77d59-d1e2-40ab-aa8c-d7ccf0b1b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1209F-6A7D-4C2A-B8D0-CBEEF48407D9}">
  <ds:schemaRefs>
    <ds:schemaRef ds:uri="http://schemas.microsoft.com/sharepoint/v3/contenttype/forms"/>
  </ds:schemaRefs>
</ds:datastoreItem>
</file>

<file path=customXml/itemProps3.xml><?xml version="1.0" encoding="utf-8"?>
<ds:datastoreItem xmlns:ds="http://schemas.openxmlformats.org/officeDocument/2006/customXml" ds:itemID="{4DADF536-0CFA-4860-A76E-5F56A87028BB}">
  <ds:schemaRefs>
    <ds:schemaRef ds:uri="http://purl.org/dc/terms/"/>
    <ds:schemaRef ds:uri="http://schemas.openxmlformats.org/package/2006/metadata/core-properties"/>
    <ds:schemaRef ds:uri="89f77d59-d1e2-40ab-aa8c-d7ccf0b1b52c"/>
    <ds:schemaRef ds:uri="http://schemas.microsoft.com/office/2006/documentManagement/types"/>
    <ds:schemaRef ds:uri="http://schemas.microsoft.com/office/infopath/2007/PartnerControls"/>
    <ds:schemaRef ds:uri="http://purl.org/dc/elements/1.1/"/>
    <ds:schemaRef ds:uri="http://schemas.microsoft.com/office/2006/metadata/properties"/>
    <ds:schemaRef ds:uri="f1f4a48a-d87d-4274-badc-1016507e432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Grant</dc:creator>
  <cp:keywords/>
  <dc:description/>
  <cp:lastModifiedBy>Grace Grant</cp:lastModifiedBy>
  <cp:revision>1</cp:revision>
  <dcterms:created xsi:type="dcterms:W3CDTF">2019-08-29T14:40:00Z</dcterms:created>
  <dcterms:modified xsi:type="dcterms:W3CDTF">2019-08-29T14:46:00Z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0x010100637312CFB7058E49B270318873710D3B</vt:lpwstr>
  </property>
</Properties>
</file>